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 w:after="0"/>
        <w:jc w:val="center"/>
      </w:pPr>
      <w:r>
        <w:rPr>
          <w:rFonts w:ascii="Arial" w:hAnsi="Arial"/>
          <w:b/>
          <w:i w:val="0"/>
          <w:color w:val="005B96"/>
          <w:sz w:val="38"/>
        </w:rPr>
        <w:t>PUROXI ULTRASONIC DESCALER</w:t>
      </w:r>
    </w:p>
    <w:p>
      <w:pPr>
        <w:spacing w:after="60"/>
        <w:jc w:val="center"/>
      </w:pPr>
      <w:r>
        <w:rPr>
          <w:rFonts w:ascii="Arial" w:hAnsi="Arial"/>
          <w:b/>
          <w:i w:val="0"/>
          <w:color w:val="163B5C"/>
          <w:sz w:val="21"/>
        </w:rPr>
        <w:t>Chemical-Free Scale Management for Plumbing and Water Systems</w:t>
      </w:r>
    </w:p>
    <w:tbl>
      <w:tblPr>
        <w:tblW w:type="auto" w:w="0"/>
        <w:jc w:val="center"/>
        <w:tblLayout w:type="fixed"/>
        <w:tblLook w:firstColumn="1" w:firstRow="1" w:lastColumn="0" w:lastRow="0" w:noHBand="0" w:noVBand="1" w:val="04A0"/>
        <w:tblBorders>
          <w:top w:val="single" w:sz="7" w:color="BFD9E3"/>
          <w:left w:val="single" w:sz="7" w:color="BFD9E3"/>
          <w:bottom w:val="single" w:sz="7" w:color="BFD9E3"/>
          <w:right w:val="single" w:sz="7" w:color="BFD9E3"/>
          <w:insideH w:val="single" w:sz="7" w:color="BFD9E3"/>
          <w:insideV w:val="single" w:sz="7" w:color="BFD9E3"/>
        </w:tblBorders>
      </w:tblPr>
      <w:tblGrid>
        <w:gridCol w:w="5285"/>
        <w:gridCol w:w="5285"/>
      </w:tblGrid>
      <w:tr>
        <w:tc>
          <w:tcPr>
            <w:tcW w:type="dxa" w:w="6100"/>
            <w:tcMar>
              <w:top w:w="100" w:type="dxa"/>
              <w:start w:w="130" w:type="dxa"/>
              <w:bottom w:w="90" w:type="dxa"/>
              <w:end w:w="130" w:type="dxa"/>
            </w:tcMar>
            <w:vAlign w:val="center"/>
            <w:shd w:fill="EAF5F8"/>
          </w:tcPr>
          <w:p>
            <w:r/>
          </w:p>
          <w:p>
            <w:pPr>
              <w:keepNext w:val="0"/>
              <w:spacing w:before="0" w:after="40" w:line="245" w:lineRule="auto"/>
              <w:jc w:val="left"/>
            </w:pPr>
            <w:r>
              <w:rPr>
                <w:rFonts w:ascii="Arial" w:hAnsi="Arial"/>
                <w:b/>
                <w:i w:val="0"/>
                <w:color w:val="005B96"/>
                <w:sz w:val="20"/>
              </w:rPr>
              <w:t>WHAT IT DOES</w:t>
            </w:r>
          </w:p>
          <w:p>
            <w:pPr>
              <w:keepNext w:val="0"/>
              <w:spacing w:before="0" w:after="60" w:line="245" w:lineRule="auto"/>
              <w:jc w:val="left"/>
            </w:pPr>
            <w:r>
              <w:rPr>
                <w:rFonts w:ascii="Arial" w:hAnsi="Arial"/>
                <w:b w:val="0"/>
                <w:i w:val="0"/>
                <w:color w:val="000000"/>
                <w:sz w:val="16"/>
              </w:rPr>
              <w:t>Limescale commonly forms when temperature or pressure changes cause dissolved hardness minerals to crystallize and adhere to plumbing, heat exchangers, heating elements and other wetted surfaces.</w:t>
            </w:r>
          </w:p>
          <w:p>
            <w:pPr>
              <w:keepNext w:val="0"/>
              <w:spacing w:before="0" w:after="20" w:line="245" w:lineRule="auto"/>
              <w:jc w:val="left"/>
            </w:pPr>
            <w:r>
              <w:rPr>
                <w:rFonts w:ascii="Arial" w:hAnsi="Arial"/>
                <w:b w:val="0"/>
                <w:i w:val="0"/>
                <w:color w:val="000000"/>
                <w:sz w:val="16"/>
              </w:rPr>
              <w:t>The Puroxi Ultrasonic Descaler transmits a varying electrical field through the pipe and the water it carries. This encourages hardness minerals to form more stable suspended crystals that can travel with the water flow instead of readily attaching to equipment surfaces. Existing scale may gradually soften and erode as operating conditions permit.</w:t>
            </w:r>
          </w:p>
        </w:tc>
        <w:tc>
          <w:tcPr>
            <w:tcW w:type="dxa" w:w="4460"/>
            <w:tcMar>
              <w:top w:w="100" w:type="dxa"/>
              <w:start w:w="130" w:type="dxa"/>
              <w:bottom w:w="90" w:type="dxa"/>
              <w:end w:w="130" w:type="dxa"/>
            </w:tcMar>
            <w:vAlign w:val="center"/>
          </w:tcPr>
          <w:p>
            <w:pPr>
              <w:jc w:val="center"/>
            </w:pPr>
            <w:r/>
            <w:r>
              <w:drawing>
                <wp:inline xmlns:a="http://schemas.openxmlformats.org/drawingml/2006/main" xmlns:pic="http://schemas.openxmlformats.org/drawingml/2006/picture">
                  <wp:extent cx="2121408" cy="1591056"/>
                  <wp:docPr id="1" name="Picture 1" descr="Puroxi Ultrasonic Descaler control unit" title="Puroxi Ultrasonic Descaler control unit"/>
                  <wp:cNvGraphicFramePr>
                    <a:graphicFrameLocks noChangeAspect="1"/>
                  </wp:cNvGraphicFramePr>
                  <a:graphic>
                    <a:graphicData uri="http://schemas.openxmlformats.org/drawingml/2006/picture">
                      <pic:pic>
                        <pic:nvPicPr>
                          <pic:cNvPr id="0" name="image20.jpg"/>
                          <pic:cNvPicPr/>
                        </pic:nvPicPr>
                        <pic:blipFill>
                          <a:blip r:embed="rId11"/>
                          <a:stretch>
                            <a:fillRect/>
                          </a:stretch>
                        </pic:blipFill>
                        <pic:spPr>
                          <a:xfrm>
                            <a:off x="0" y="0"/>
                            <a:ext cx="2121408" cy="1591056"/>
                          </a:xfrm>
                          <a:prstGeom prst="rect"/>
                        </pic:spPr>
                      </pic:pic>
                    </a:graphicData>
                  </a:graphic>
                </wp:inline>
              </w:drawing>
            </w:r>
          </w:p>
          <w:p>
            <w:pPr>
              <w:keepNext w:val="0"/>
              <w:spacing w:before="0" w:after="0" w:line="245" w:lineRule="auto"/>
              <w:jc w:val="center"/>
            </w:pPr>
            <w:r>
              <w:rPr>
                <w:rFonts w:ascii="Arial" w:hAnsi="Arial"/>
                <w:b w:val="0"/>
                <w:i/>
                <w:color w:val="5C6770"/>
                <w:sz w:val="14"/>
              </w:rPr>
              <w:t>Typical Puroxi control unit</w:t>
            </w:r>
          </w:p>
        </w:tc>
      </w:tr>
    </w:tbl>
    <w:p>
      <w:pPr>
        <w:keepNext/>
        <w:spacing w:before="60" w:after="40" w:line="245" w:lineRule="auto"/>
        <w:jc w:val="left"/>
      </w:pPr>
      <w:r>
        <w:rPr>
          <w:rFonts w:ascii="Arial" w:hAnsi="Arial"/>
          <w:b/>
          <w:i w:val="0"/>
          <w:color w:val="005B96"/>
          <w:sz w:val="21"/>
        </w:rPr>
        <w:t>HOW THE SYSTEM SUPPORTS WATER MANAGEMENT</w:t>
      </w:r>
    </w:p>
    <w:tbl>
      <w:tblPr>
        <w:tblW w:type="auto" w:w="0"/>
        <w:jc w:val="center"/>
        <w:tblLayout w:type="fixed"/>
        <w:tblLook w:firstColumn="1" w:firstRow="1" w:lastColumn="0" w:lastRow="0" w:noHBand="0" w:noVBand="1" w:val="04A0"/>
        <w:tblBorders>
          <w:top w:val="single" w:sz="6" w:color="D7E2E8"/>
          <w:left w:val="single" w:sz="6" w:color="D7E2E8"/>
          <w:bottom w:val="single" w:sz="6" w:color="D7E2E8"/>
          <w:right w:val="single" w:sz="6" w:color="D7E2E8"/>
          <w:insideH w:val="single" w:sz="6" w:color="D7E2E8"/>
          <w:insideV w:val="single" w:sz="6" w:color="D7E2E8"/>
        </w:tblBorders>
      </w:tblPr>
      <w:tblGrid>
        <w:gridCol w:w="3523"/>
        <w:gridCol w:w="3523"/>
        <w:gridCol w:w="3523"/>
      </w:tblGrid>
      <w:tr>
        <w:tc>
          <w:tcPr>
            <w:tcW w:type="dxa" w:w="3520"/>
            <w:tcMar>
              <w:top w:w="90" w:type="dxa"/>
              <w:start w:w="115" w:type="dxa"/>
              <w:bottom w:w="75" w:type="dxa"/>
              <w:end w:w="115" w:type="dxa"/>
            </w:tcMar>
            <w:vAlign w:val="top"/>
            <w:shd w:fill="F3F7FA"/>
          </w:tcPr>
          <w:p>
            <w:r/>
          </w:p>
          <w:p>
            <w:pPr>
              <w:keepNext w:val="0"/>
              <w:spacing w:before="0" w:after="20" w:line="245" w:lineRule="auto"/>
              <w:jc w:val="left"/>
            </w:pPr>
            <w:r>
              <w:rPr>
                <w:rFonts w:ascii="Arial" w:hAnsi="Arial"/>
                <w:b/>
                <w:i w:val="0"/>
                <w:color w:val="163B5C"/>
                <w:sz w:val="17"/>
              </w:rPr>
              <w:t>Scale control</w:t>
            </w:r>
          </w:p>
          <w:p>
            <w:pPr>
              <w:keepNext w:val="0"/>
              <w:spacing w:before="0" w:after="0" w:line="245" w:lineRule="auto"/>
              <w:jc w:val="left"/>
            </w:pPr>
            <w:r>
              <w:rPr>
                <w:rFonts w:ascii="Arial" w:hAnsi="Arial"/>
                <w:b w:val="0"/>
                <w:i w:val="0"/>
                <w:color w:val="000000"/>
                <w:sz w:val="15"/>
              </w:rPr>
              <w:t>Helps reduce new hard-scale attachment and supports gradual removal of existing deposits without cutting the pipe or adding treatment chemicals.</w:t>
            </w:r>
          </w:p>
        </w:tc>
        <w:tc>
          <w:tcPr>
            <w:tcW w:type="dxa" w:w="3520"/>
            <w:tcMar>
              <w:top w:w="90" w:type="dxa"/>
              <w:start w:w="115" w:type="dxa"/>
              <w:bottom w:w="75" w:type="dxa"/>
              <w:end w:w="115" w:type="dxa"/>
            </w:tcMar>
            <w:vAlign w:val="top"/>
            <w:shd w:fill="F3F7FA"/>
          </w:tcPr>
          <w:p>
            <w:r/>
          </w:p>
          <w:p>
            <w:pPr>
              <w:keepNext w:val="0"/>
              <w:spacing w:before="0" w:after="20" w:line="245" w:lineRule="auto"/>
              <w:jc w:val="left"/>
            </w:pPr>
            <w:r>
              <w:rPr>
                <w:rFonts w:ascii="Arial" w:hAnsi="Arial"/>
                <w:b/>
                <w:i w:val="0"/>
                <w:color w:val="163B5C"/>
                <w:sz w:val="17"/>
              </w:rPr>
              <w:t>Biofouling &amp; filtration</w:t>
            </w:r>
          </w:p>
          <w:p>
            <w:pPr>
              <w:keepNext w:val="0"/>
              <w:spacing w:before="0" w:after="0" w:line="245" w:lineRule="auto"/>
              <w:jc w:val="left"/>
            </w:pPr>
            <w:r>
              <w:rPr>
                <w:rFonts w:ascii="Arial" w:hAnsi="Arial"/>
                <w:b w:val="0"/>
                <w:i w:val="0"/>
                <w:color w:val="000000"/>
                <w:sz w:val="15"/>
              </w:rPr>
              <w:t>Depending on water chemistry and system design, the applied field may support biofouling control, particle flocculation and improved filtration performance.</w:t>
            </w:r>
          </w:p>
        </w:tc>
        <w:tc>
          <w:tcPr>
            <w:tcW w:type="dxa" w:w="3520"/>
            <w:tcMar>
              <w:top w:w="90" w:type="dxa"/>
              <w:start w:w="115" w:type="dxa"/>
              <w:bottom w:w="75" w:type="dxa"/>
              <w:end w:w="115" w:type="dxa"/>
            </w:tcMar>
            <w:vAlign w:val="top"/>
            <w:shd w:fill="F3F7FA"/>
          </w:tcPr>
          <w:p>
            <w:r/>
          </w:p>
          <w:p>
            <w:pPr>
              <w:keepNext w:val="0"/>
              <w:spacing w:before="0" w:after="20" w:line="245" w:lineRule="auto"/>
              <w:jc w:val="left"/>
            </w:pPr>
            <w:r>
              <w:rPr>
                <w:rFonts w:ascii="Arial" w:hAnsi="Arial"/>
                <w:b/>
                <w:i w:val="0"/>
                <w:color w:val="163B5C"/>
                <w:sz w:val="17"/>
              </w:rPr>
              <w:t>Efficiency protection</w:t>
            </w:r>
          </w:p>
          <w:p>
            <w:pPr>
              <w:keepNext w:val="0"/>
              <w:spacing w:before="0" w:after="0" w:line="245" w:lineRule="auto"/>
              <w:jc w:val="left"/>
            </w:pPr>
            <w:r>
              <w:rPr>
                <w:rFonts w:ascii="Arial" w:hAnsi="Arial"/>
                <w:b w:val="0"/>
                <w:i w:val="0"/>
                <w:color w:val="000000"/>
                <w:sz w:val="15"/>
              </w:rPr>
              <w:t>Cleaner heat-transfer and filtration surfaces can help protect equipment efficiency and may reduce cleaning, backwash, water and energy demand.</w:t>
            </w:r>
          </w:p>
        </w:tc>
      </w:tr>
    </w:tbl>
    <w:p>
      <w:pPr>
        <w:keepNext/>
        <w:spacing w:before="60" w:after="40" w:line="245" w:lineRule="auto"/>
        <w:jc w:val="left"/>
      </w:pPr>
      <w:r>
        <w:rPr>
          <w:rFonts w:ascii="Arial" w:hAnsi="Arial"/>
          <w:b/>
          <w:i w:val="0"/>
          <w:color w:val="005B96"/>
          <w:sz w:val="21"/>
        </w:rPr>
        <w:t>INSTALLATION — COMPLETE ALL STEPS BEFORE APPLYING POWER</w:t>
      </w:r>
    </w:p>
    <w:tbl>
      <w:tblPr>
        <w:tblW w:type="auto" w:w="0"/>
        <w:jc w:val="center"/>
        <w:tblLayout w:type="fixed"/>
        <w:tblLook w:firstColumn="1" w:firstRow="1" w:lastColumn="0" w:lastRow="0" w:noHBand="0" w:noVBand="1" w:val="04A0"/>
        <w:tblBorders>
          <w:top w:val="single" w:sz="6" w:color="D7E2E8"/>
          <w:left w:val="single" w:sz="6" w:color="D7E2E8"/>
          <w:bottom w:val="single" w:sz="6" w:color="D7E2E8"/>
          <w:right w:val="single" w:sz="6" w:color="D7E2E8"/>
          <w:insideH w:val="single" w:sz="6" w:color="D7E2E8"/>
          <w:insideV w:val="single" w:sz="6" w:color="D7E2E8"/>
        </w:tblBorders>
      </w:tblPr>
      <w:tblGrid>
        <w:gridCol w:w="5285"/>
        <w:gridCol w:w="5285"/>
      </w:tblGrid>
      <w:tr>
        <w:tc>
          <w:tcPr>
            <w:tcW w:type="dxa" w:w="6700"/>
            <w:tcMar>
              <w:top w:w="80" w:type="dxa"/>
              <w:start w:w="115" w:type="dxa"/>
              <w:bottom w:w="70" w:type="dxa"/>
              <w:end w:w="115" w:type="dxa"/>
            </w:tcMar>
            <w:vAlign w:val="top"/>
          </w:tcPr>
          <w:p>
            <w:r/>
          </w:p>
          <w:p>
            <w:pPr>
              <w:spacing w:before="0" w:after="32" w:line="240" w:lineRule="auto"/>
            </w:pPr>
            <w:r>
              <w:rPr>
                <w:rFonts w:ascii="Arial" w:hAnsi="Arial"/>
                <w:b/>
                <w:i w:val="0"/>
                <w:color w:val="163B5C"/>
                <w:sz w:val="15"/>
              </w:rPr>
              <w:t xml:space="preserve">1. Select the location. </w:t>
            </w:r>
            <w:r>
              <w:rPr>
                <w:rFonts w:ascii="Arial" w:hAnsi="Arial"/>
                <w:b w:val="0"/>
                <w:i w:val="0"/>
                <w:color w:val="000000"/>
                <w:sz w:val="15"/>
              </w:rPr>
              <w:t>Install on the pipe as close as practical to the scale problem. For boilers, chillers and heat exchangers, install on the cold-water inlet or upstream of the protected equipment.</w:t>
            </w:r>
          </w:p>
          <w:p>
            <w:pPr>
              <w:spacing w:before="0" w:after="32" w:line="240" w:lineRule="auto"/>
            </w:pPr>
            <w:r>
              <w:rPr>
                <w:rFonts w:ascii="Arial" w:hAnsi="Arial"/>
                <w:b/>
                <w:i w:val="0"/>
                <w:color w:val="163B5C"/>
                <w:sz w:val="15"/>
              </w:rPr>
              <w:t xml:space="preserve">2. Prepare the pipe. </w:t>
            </w:r>
            <w:r>
              <w:rPr>
                <w:rFonts w:ascii="Arial" w:hAnsi="Arial"/>
                <w:b w:val="0"/>
                <w:i w:val="0"/>
                <w:color w:val="000000"/>
                <w:sz w:val="15"/>
              </w:rPr>
              <w:t>Remove insulation and thoroughly clean the outside pipe surface. The ceramics must contact the pipe directly; never place the unit or ceramics in water.</w:t>
            </w:r>
          </w:p>
          <w:p>
            <w:pPr>
              <w:spacing w:before="0" w:after="32" w:line="240" w:lineRule="auto"/>
            </w:pPr>
            <w:r>
              <w:rPr>
                <w:rFonts w:ascii="Arial" w:hAnsi="Arial"/>
                <w:b/>
                <w:i w:val="0"/>
                <w:color w:val="163B5C"/>
                <w:sz w:val="15"/>
              </w:rPr>
              <w:t xml:space="preserve">3. Mount carefully. </w:t>
            </w:r>
            <w:r>
              <w:rPr>
                <w:rFonts w:ascii="Arial" w:hAnsi="Arial"/>
                <w:b w:val="0"/>
                <w:i w:val="0"/>
                <w:color w:val="000000"/>
                <w:sz w:val="15"/>
              </w:rPr>
              <w:t>Fit and secure the frame, control box and ceramic elements according to the model layout. Ceramics are fragile—do not strike, overtighten, break or strain the cables.</w:t>
            </w:r>
          </w:p>
          <w:p>
            <w:pPr>
              <w:spacing w:before="0" w:after="32" w:line="240" w:lineRule="auto"/>
            </w:pPr>
            <w:r>
              <w:rPr>
                <w:rFonts w:ascii="Arial" w:hAnsi="Arial"/>
                <w:b/>
                <w:i w:val="0"/>
                <w:color w:val="163B5C"/>
                <w:sz w:val="15"/>
              </w:rPr>
              <w:t xml:space="preserve">4. Inspect, then energize. </w:t>
            </w:r>
            <w:r>
              <w:rPr>
                <w:rFonts w:ascii="Arial" w:hAnsi="Arial"/>
                <w:b w:val="0"/>
                <w:i w:val="0"/>
                <w:color w:val="000000"/>
                <w:sz w:val="15"/>
              </w:rPr>
              <w:t>Confirm every required ceramic element and cable is correctly installed before connecting power. Energizing the control box first can damage the equipment and void the warranty.</w:t>
            </w:r>
          </w:p>
        </w:tc>
        <w:tc>
          <w:tcPr>
            <w:tcW w:type="dxa" w:w="3860"/>
            <w:tcMar>
              <w:top w:w="80" w:type="dxa"/>
              <w:start w:w="115" w:type="dxa"/>
              <w:bottom w:w="70" w:type="dxa"/>
              <w:end w:w="115" w:type="dxa"/>
            </w:tcMar>
            <w:vAlign w:val="top"/>
          </w:tcPr>
          <w:p>
            <w:pPr>
              <w:jc w:val="center"/>
            </w:pPr>
            <w:r/>
            <w:r>
              <w:drawing>
                <wp:inline xmlns:a="http://schemas.openxmlformats.org/drawingml/2006/main" xmlns:pic="http://schemas.openxmlformats.org/drawingml/2006/picture">
                  <wp:extent cx="1783080" cy="1092756"/>
                  <wp:docPr id="2" name="Picture 2" descr="Exploded view of the control box, frame, clamps and ceramic elements" title="Exploded view of the control box, frame, clamps and ceramic elements"/>
                  <wp:cNvGraphicFramePr>
                    <a:graphicFrameLocks noChangeAspect="1"/>
                  </wp:cNvGraphicFramePr>
                  <a:graphic>
                    <a:graphicData uri="http://schemas.openxmlformats.org/drawingml/2006/picture">
                      <pic:pic>
                        <pic:nvPicPr>
                          <pic:cNvPr id="0" name="image1.jpg"/>
                          <pic:cNvPicPr/>
                        </pic:nvPicPr>
                        <pic:blipFill>
                          <a:blip r:embed="rId12"/>
                          <a:stretch>
                            <a:fillRect/>
                          </a:stretch>
                        </pic:blipFill>
                        <pic:spPr>
                          <a:xfrm>
                            <a:off x="0" y="0"/>
                            <a:ext cx="1783080" cy="1092756"/>
                          </a:xfrm>
                          <a:prstGeom prst="rect"/>
                        </pic:spPr>
                      </pic:pic>
                    </a:graphicData>
                  </a:graphic>
                </wp:inline>
              </w:drawing>
            </w:r>
          </w:p>
          <w:p>
            <w:pPr>
              <w:keepNext w:val="0"/>
              <w:spacing w:before="0" w:after="40" w:line="245" w:lineRule="auto"/>
              <w:jc w:val="center"/>
            </w:pPr>
            <w:r>
              <w:rPr>
                <w:rFonts w:ascii="Arial" w:hAnsi="Arial"/>
                <w:b w:val="0"/>
                <w:i/>
                <w:color w:val="5C6770"/>
                <w:sz w:val="14"/>
              </w:rPr>
              <w:t>Typical frame and ceramic layout</w:t>
            </w:r>
          </w:p>
          <w:p>
            <w:pPr>
              <w:spacing w:after="0"/>
              <w:jc w:val="center"/>
            </w:pPr>
            <w:r>
              <w:drawing>
                <wp:inline xmlns:a="http://schemas.openxmlformats.org/drawingml/2006/main" xmlns:pic="http://schemas.openxmlformats.org/drawingml/2006/picture">
                  <wp:extent cx="1600200" cy="1200150"/>
                  <wp:docPr id="3" name="Picture 3" descr="Puroxi Ultrasonic Descaler installed directly on outdoor piping" title="Puroxi Ultrasonic Descaler installed directly on outdoor piping"/>
                  <wp:cNvGraphicFramePr>
                    <a:graphicFrameLocks noChangeAspect="1"/>
                  </wp:cNvGraphicFramePr>
                  <a:graphic>
                    <a:graphicData uri="http://schemas.openxmlformats.org/drawingml/2006/picture">
                      <pic:pic>
                        <pic:nvPicPr>
                          <pic:cNvPr id="0" name="image26.jpg"/>
                          <pic:cNvPicPr/>
                        </pic:nvPicPr>
                        <pic:blipFill>
                          <a:blip r:embed="rId13"/>
                          <a:stretch>
                            <a:fillRect/>
                          </a:stretch>
                        </pic:blipFill>
                        <pic:spPr>
                          <a:xfrm>
                            <a:off x="0" y="0"/>
                            <a:ext cx="1600200" cy="1200150"/>
                          </a:xfrm>
                          <a:prstGeom prst="rect"/>
                        </pic:spPr>
                      </pic:pic>
                    </a:graphicData>
                  </a:graphic>
                </wp:inline>
              </w:drawing>
            </w:r>
          </w:p>
          <w:p>
            <w:pPr>
              <w:keepNext w:val="0"/>
              <w:spacing w:before="0" w:after="0" w:line="245" w:lineRule="auto"/>
              <w:jc w:val="center"/>
            </w:pPr>
            <w:r>
              <w:rPr>
                <w:rFonts w:ascii="Arial" w:hAnsi="Arial"/>
                <w:b w:val="0"/>
                <w:i/>
                <w:color w:val="5C6770"/>
                <w:sz w:val="14"/>
              </w:rPr>
              <w:t>Installed directly on the pipe</w:t>
            </w:r>
          </w:p>
        </w:tc>
      </w:tr>
    </w:tbl>
    <w:p>
      <w:pPr>
        <w:keepNext/>
        <w:spacing w:before="60" w:after="40" w:line="245" w:lineRule="auto"/>
        <w:jc w:val="left"/>
      </w:pPr>
      <w:r>
        <w:rPr>
          <w:rFonts w:ascii="Arial" w:hAnsi="Arial"/>
          <w:b/>
          <w:i w:val="0"/>
          <w:color w:val="005B96"/>
          <w:sz w:val="21"/>
        </w:rPr>
        <w:t>ESSENTIAL OPERATING LIMITS</w:t>
      </w:r>
    </w:p>
    <w:tbl>
      <w:tblPr>
        <w:tblW w:type="auto" w:w="0"/>
        <w:jc w:val="center"/>
        <w:tblLayout w:type="fixed"/>
        <w:tblLook w:firstColumn="1" w:firstRow="1" w:lastColumn="0" w:lastRow="0" w:noHBand="0" w:noVBand="1" w:val="04A0"/>
        <w:tblBorders>
          <w:top w:val="single" w:sz="6" w:color="D7E2E8"/>
          <w:left w:val="single" w:sz="6" w:color="D7E2E8"/>
          <w:bottom w:val="single" w:sz="6" w:color="D7E2E8"/>
          <w:right w:val="single" w:sz="6" w:color="D7E2E8"/>
          <w:insideH w:val="single" w:sz="6" w:color="D7E2E8"/>
          <w:insideV w:val="single" w:sz="6" w:color="D7E2E8"/>
        </w:tblBorders>
      </w:tblPr>
      <w:tblGrid>
        <w:gridCol w:w="2642"/>
        <w:gridCol w:w="2642"/>
        <w:gridCol w:w="2642"/>
        <w:gridCol w:w="2642"/>
      </w:tblGrid>
      <w:tr>
        <w:tc>
          <w:tcPr>
            <w:tcW w:type="dxa" w:w="1650"/>
            <w:tcMar>
              <w:top w:w="70" w:type="dxa"/>
              <w:start w:w="95" w:type="dxa"/>
              <w:bottom w:w="65" w:type="dxa"/>
              <w:end w:w="95" w:type="dxa"/>
            </w:tcMar>
            <w:vAlign w:val="center"/>
            <w:shd w:fill="EAF5F8"/>
          </w:tcPr>
          <w:p>
            <w:r/>
          </w:p>
          <w:p>
            <w:pPr>
              <w:keepNext w:val="0"/>
              <w:spacing w:before="0" w:after="0" w:line="245" w:lineRule="auto"/>
              <w:jc w:val="left"/>
            </w:pPr>
            <w:r>
              <w:rPr>
                <w:rFonts w:ascii="Arial" w:hAnsi="Arial"/>
                <w:b/>
                <w:i w:val="0"/>
                <w:color w:val="163B5C"/>
                <w:sz w:val="15"/>
              </w:rPr>
              <w:t>Input power</w:t>
            </w:r>
          </w:p>
        </w:tc>
        <w:tc>
          <w:tcPr>
            <w:tcW w:type="dxa" w:w="3630"/>
            <w:tcMar>
              <w:top w:w="70" w:type="dxa"/>
              <w:start w:w="95" w:type="dxa"/>
              <w:bottom w:w="65" w:type="dxa"/>
              <w:end w:w="95" w:type="dxa"/>
            </w:tcMar>
            <w:vAlign w:val="center"/>
            <w:shd w:fill="FFFFFF"/>
          </w:tcPr>
          <w:p>
            <w:r/>
          </w:p>
          <w:p>
            <w:pPr>
              <w:keepNext w:val="0"/>
              <w:spacing w:before="0" w:after="0" w:line="245" w:lineRule="auto"/>
              <w:jc w:val="left"/>
            </w:pPr>
            <w:r>
              <w:rPr>
                <w:rFonts w:ascii="Arial" w:hAnsi="Arial"/>
                <w:b w:val="0"/>
                <w:i w:val="0"/>
                <w:color w:val="000000"/>
                <w:sz w:val="15"/>
              </w:rPr>
              <w:t>90–240 VAC, 47–63 Hz</w:t>
            </w:r>
          </w:p>
        </w:tc>
        <w:tc>
          <w:tcPr>
            <w:tcW w:type="dxa" w:w="1650"/>
            <w:tcMar>
              <w:top w:w="70" w:type="dxa"/>
              <w:start w:w="95" w:type="dxa"/>
              <w:bottom w:w="65" w:type="dxa"/>
              <w:end w:w="95" w:type="dxa"/>
            </w:tcMar>
            <w:vAlign w:val="center"/>
            <w:shd w:fill="EAF5F8"/>
          </w:tcPr>
          <w:p>
            <w:r/>
          </w:p>
          <w:p>
            <w:pPr>
              <w:keepNext w:val="0"/>
              <w:spacing w:before="0" w:after="0" w:line="245" w:lineRule="auto"/>
              <w:jc w:val="left"/>
            </w:pPr>
            <w:r>
              <w:rPr>
                <w:rFonts w:ascii="Arial" w:hAnsi="Arial"/>
                <w:b/>
                <w:i w:val="0"/>
                <w:color w:val="163B5C"/>
                <w:sz w:val="15"/>
              </w:rPr>
              <w:t>Control enclosure</w:t>
            </w:r>
          </w:p>
        </w:tc>
        <w:tc>
          <w:tcPr>
            <w:tcW w:type="dxa" w:w="3630"/>
            <w:tcMar>
              <w:top w:w="70" w:type="dxa"/>
              <w:start w:w="95" w:type="dxa"/>
              <w:bottom w:w="65" w:type="dxa"/>
              <w:end w:w="95" w:type="dxa"/>
            </w:tcMar>
            <w:vAlign w:val="center"/>
            <w:shd w:fill="FFFFFF"/>
          </w:tcPr>
          <w:p>
            <w:r/>
          </w:p>
          <w:p>
            <w:pPr>
              <w:keepNext w:val="0"/>
              <w:spacing w:before="0" w:after="0" w:line="245" w:lineRule="auto"/>
              <w:jc w:val="left"/>
            </w:pPr>
            <w:r>
              <w:rPr>
                <w:rFonts w:ascii="Arial" w:hAnsi="Arial"/>
                <w:b w:val="0"/>
                <w:i w:val="0"/>
                <w:color w:val="000000"/>
                <w:sz w:val="15"/>
              </w:rPr>
              <w:t>Aluminium alloy; IP66</w:t>
            </w:r>
          </w:p>
        </w:tc>
      </w:tr>
      <w:tr>
        <w:tc>
          <w:tcPr>
            <w:tcW w:type="dxa" w:w="1650"/>
            <w:tcMar>
              <w:top w:w="70" w:type="dxa"/>
              <w:start w:w="95" w:type="dxa"/>
              <w:bottom w:w="65" w:type="dxa"/>
              <w:end w:w="95" w:type="dxa"/>
            </w:tcMar>
            <w:vAlign w:val="center"/>
            <w:shd w:fill="EAF5F8"/>
          </w:tcPr>
          <w:p>
            <w:r/>
          </w:p>
          <w:p>
            <w:pPr>
              <w:keepNext w:val="0"/>
              <w:spacing w:before="0" w:after="0" w:line="245" w:lineRule="auto"/>
              <w:jc w:val="left"/>
            </w:pPr>
            <w:r>
              <w:rPr>
                <w:rFonts w:ascii="Arial" w:hAnsi="Arial"/>
                <w:b/>
                <w:i w:val="0"/>
                <w:color w:val="163B5C"/>
                <w:sz w:val="15"/>
              </w:rPr>
              <w:t>Environment</w:t>
            </w:r>
          </w:p>
        </w:tc>
        <w:tc>
          <w:tcPr>
            <w:tcW w:type="dxa" w:w="3630"/>
            <w:tcMar>
              <w:top w:w="70" w:type="dxa"/>
              <w:start w:w="95" w:type="dxa"/>
              <w:bottom w:w="65" w:type="dxa"/>
              <w:end w:w="95" w:type="dxa"/>
            </w:tcMar>
            <w:vAlign w:val="center"/>
            <w:shd w:fill="FFFFFF"/>
          </w:tcPr>
          <w:p>
            <w:r/>
          </w:p>
          <w:p>
            <w:pPr>
              <w:keepNext w:val="0"/>
              <w:spacing w:before="0" w:after="0" w:line="245" w:lineRule="auto"/>
              <w:jc w:val="left"/>
            </w:pPr>
            <w:r>
              <w:rPr>
                <w:rFonts w:ascii="Arial" w:hAnsi="Arial"/>
                <w:b w:val="0"/>
                <w:i w:val="0"/>
                <w:color w:val="000000"/>
                <w:sz w:val="15"/>
              </w:rPr>
              <w:t>−20°C to 50°C; elevation &lt;2,000 m</w:t>
            </w:r>
          </w:p>
        </w:tc>
        <w:tc>
          <w:tcPr>
            <w:tcW w:type="dxa" w:w="1650"/>
            <w:tcMar>
              <w:top w:w="70" w:type="dxa"/>
              <w:start w:w="95" w:type="dxa"/>
              <w:bottom w:w="65" w:type="dxa"/>
              <w:end w:w="95" w:type="dxa"/>
            </w:tcMar>
            <w:vAlign w:val="center"/>
            <w:shd w:fill="EAF5F8"/>
          </w:tcPr>
          <w:p>
            <w:r/>
          </w:p>
          <w:p>
            <w:pPr>
              <w:keepNext w:val="0"/>
              <w:spacing w:before="0" w:after="0" w:line="245" w:lineRule="auto"/>
              <w:jc w:val="left"/>
            </w:pPr>
            <w:r>
              <w:rPr>
                <w:rFonts w:ascii="Arial" w:hAnsi="Arial"/>
                <w:b/>
                <w:i w:val="0"/>
                <w:color w:val="163B5C"/>
                <w:sz w:val="15"/>
              </w:rPr>
              <w:t>Relative humidity</w:t>
            </w:r>
          </w:p>
        </w:tc>
        <w:tc>
          <w:tcPr>
            <w:tcW w:type="dxa" w:w="3630"/>
            <w:tcMar>
              <w:top w:w="70" w:type="dxa"/>
              <w:start w:w="95" w:type="dxa"/>
              <w:bottom w:w="65" w:type="dxa"/>
              <w:end w:w="95" w:type="dxa"/>
            </w:tcMar>
            <w:vAlign w:val="center"/>
            <w:shd w:fill="FFFFFF"/>
          </w:tcPr>
          <w:p>
            <w:r/>
          </w:p>
          <w:p>
            <w:pPr>
              <w:keepNext w:val="0"/>
              <w:spacing w:before="0" w:after="0" w:line="245" w:lineRule="auto"/>
              <w:jc w:val="left"/>
            </w:pPr>
            <w:r>
              <w:rPr>
                <w:rFonts w:ascii="Arial" w:hAnsi="Arial"/>
                <w:b w:val="0"/>
                <w:i w:val="0"/>
                <w:color w:val="000000"/>
                <w:sz w:val="15"/>
              </w:rPr>
              <w:t>Max. 50% at 40°C; max. 80% at 31°C</w:t>
            </w:r>
          </w:p>
        </w:tc>
      </w:tr>
    </w:tbl>
    <w:tbl>
      <w:tblPr>
        <w:tblW w:type="auto" w:w="0"/>
        <w:jc w:val="center"/>
        <w:tblLook w:firstColumn="1" w:firstRow="1" w:lastColumn="0" w:lastRow="0" w:noHBand="0" w:noVBand="1" w:val="04A0"/>
        <w:tblBorders>
          <w:top w:val="single" w:sz="8" w:color="D9A6A6"/>
          <w:left w:val="single" w:sz="8" w:color="D9A6A6"/>
          <w:bottom w:val="single" w:sz="8" w:color="D9A6A6"/>
          <w:right w:val="single" w:sz="8" w:color="D9A6A6"/>
          <w:insideH w:val="single" w:sz="8" w:color="D9A6A6"/>
          <w:insideV w:val="single" w:sz="8" w:color="D9A6A6"/>
        </w:tblBorders>
      </w:tblPr>
      <w:tblGrid>
        <w:gridCol w:w="10570"/>
      </w:tblGrid>
      <w:tr>
        <w:tc>
          <w:tcPr>
            <w:tcW w:type="dxa" w:w="10570"/>
            <w:shd w:fill="FFF2F2"/>
            <w:tcMar>
              <w:top w:w="85" w:type="dxa"/>
              <w:start w:w="120" w:type="dxa"/>
              <w:bottom w:w="75" w:type="dxa"/>
              <w:end w:w="120" w:type="dxa"/>
            </w:tcMar>
          </w:tcPr>
          <w:p>
            <w:pPr>
              <w:spacing w:after="20"/>
            </w:pPr>
            <w:r/>
            <w:r>
              <w:rPr>
                <w:rFonts w:ascii="Arial" w:hAnsi="Arial"/>
                <w:b/>
                <w:i w:val="0"/>
                <w:color w:val="A32929"/>
                <w:sz w:val="16"/>
              </w:rPr>
              <w:t xml:space="preserve">IMPORTANT SAFETY: </w:t>
            </w:r>
            <w:r>
              <w:rPr>
                <w:rFonts w:ascii="Arial" w:hAnsi="Arial"/>
                <w:b w:val="0"/>
                <w:i w:val="0"/>
                <w:color w:val="000000"/>
                <w:sz w:val="16"/>
              </w:rPr>
              <w:t>Do not install where explosive or flammable gas may be present. Protect outdoor installations from rain and direct sun. Keep the control box and ceramics within the stated temperature limits. Use qualified electrical installation, grounding and surge protection. After a power interruption, confirm that the operating indicator is illuminated.</w:t>
            </w:r>
          </w:p>
        </w:tc>
      </w:tr>
    </w:tbl>
    <w:p>
      <w:pPr>
        <w:spacing w:before="20" w:after="0"/>
        <w:jc w:val="center"/>
      </w:pPr>
      <w:r>
        <w:rPr>
          <w:rFonts w:ascii="Arial" w:hAnsi="Arial"/>
          <w:b/>
          <w:i w:val="0"/>
          <w:color w:val="163B5C"/>
          <w:sz w:val="15"/>
        </w:rPr>
        <w:t xml:space="preserve">MODEL SELECTION: </w:t>
      </w:r>
      <w:r>
        <w:rPr>
          <w:rFonts w:ascii="Arial" w:hAnsi="Arial"/>
          <w:b w:val="0"/>
          <w:i w:val="0"/>
          <w:color w:val="5C6770"/>
          <w:sz w:val="15"/>
        </w:rPr>
        <w:t>Pipe outside diameter, pipe material, layout, bends, branches, flow direction, temperature and water analysis are required for final sizing. This one-page guide does not replace the model-specific installation manual.</w:t>
      </w:r>
    </w:p>
    <w:sectPr w:rsidR="00FC693F" w:rsidRPr="0006063C" w:rsidSect="00034616">
      <w:headerReference w:type="default" r:id="rId9"/>
      <w:footerReference w:type="default" r:id="rId10"/>
      <w:pgSz w:w="12240" w:h="15840"/>
      <w:pgMar w:top="547" w:right="835" w:bottom="490" w:left="835" w:header="259"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b w:val="0"/>
        <w:i w:val="0"/>
        <w:color w:val="5C6770"/>
        <w:sz w:val="15"/>
      </w:rPr>
      <w:t>Puroxi Ultrasonic Descaler  •  One-Page Installation &amp; Operating Guide  •  Read before installation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5285"/>
      <w:gridCol w:w="5285"/>
    </w:tblGrid>
    <w:tr>
      <w:tc>
        <w:tcPr>
          <w:tcW w:type="dxa" w:w="4000"/>
          <w:shd w:fill="FFFFFF"/>
          <w:tcMar>
            <w:top w:w="20" w:type="dxa"/>
            <w:start w:w="90" w:type="dxa"/>
            <w:bottom w:w="15" w:type="dxa"/>
            <w:end w:w="90" w:type="dxa"/>
          </w:tcMar>
        </w:tcPr>
        <w:p>
          <w:pPr>
            <w:jc w:val="left"/>
          </w:pPr>
          <w:r>
            <w:drawing>
              <wp:inline xmlns:a="http://schemas.openxmlformats.org/drawingml/2006/main" xmlns:pic="http://schemas.openxmlformats.org/drawingml/2006/picture">
                <wp:extent cx="804672" cy="804672"/>
                <wp:docPr id="1" name="Picture 1" descr="Puroxi Pure Water Global Inc. round logo: Pure Water. Smarter Solutions. Since 1998." title="Puroxi Pure Water Global Inc. round logo: Pure Water. Smarter Solutions. Since 1998."/>
                <wp:cNvGraphicFramePr>
                  <a:graphicFrameLocks noChangeAspect="1"/>
                </wp:cNvGraphicFramePr>
                <a:graphic>
                  <a:graphicData uri="http://schemas.openxmlformats.org/drawingml/2006/picture">
                    <pic:pic>
                      <pic:nvPicPr>
                        <pic:cNvPr id="0" name="Puroxi New Logo.png"/>
                        <pic:cNvPicPr/>
                      </pic:nvPicPr>
                      <pic:blipFill>
                        <a:blip r:embed="rId1"/>
                        <a:stretch>
                          <a:fillRect/>
                        </a:stretch>
                      </pic:blipFill>
                      <pic:spPr>
                        <a:xfrm>
                          <a:off x="0" y="0"/>
                          <a:ext cx="804672" cy="804672"/>
                        </a:xfrm>
                        <a:prstGeom prst="rect"/>
                      </pic:spPr>
                    </pic:pic>
                  </a:graphicData>
                </a:graphic>
              </wp:inline>
            </w:drawing>
          </w:r>
        </w:p>
      </w:tc>
      <w:tc>
        <w:tcPr>
          <w:tcW w:type="dxa" w:w="6560"/>
        </w:tcPr>
        <w:p>
          <w:pPr>
            <w:spacing w:after="0"/>
            <w:jc w:val="right"/>
          </w:pPr>
          <w:r>
            <w:rPr>
              <w:rFonts w:ascii="Arial" w:hAnsi="Arial"/>
              <w:b/>
              <w:i w:val="0"/>
              <w:color w:val="163B5C"/>
              <w:sz w:val="19"/>
            </w:rPr>
            <w:t>PUROXI PURE WATER GLOBAL INC.</w:t>
          </w:r>
          <w:r>
            <w:br/>
          </w:r>
          <w:r>
            <w:rPr>
              <w:rFonts w:ascii="Arial" w:hAnsi="Arial"/>
              <w:b w:val="0"/>
              <w:i w:val="0"/>
              <w:color w:val="5C6770"/>
              <w:sz w:val="16"/>
            </w:rPr>
            <w:t>British Columbia, Canada</w:t>
          </w:r>
          <w:r>
            <w:br/>
          </w:r>
          <w:r>
            <w:rPr>
              <w:rFonts w:ascii="Arial" w:hAnsi="Arial"/>
              <w:b w:val="0"/>
              <w:i w:val="0"/>
              <w:color w:val="5C6770"/>
              <w:sz w:val="16"/>
            </w:rPr>
            <w:t>www.puroxi.com  |  info@puroxi.com</w:t>
          </w:r>
          <w:r>
            <w:br/>
          </w:r>
          <w:r>
            <w:rPr>
              <w:rFonts w:ascii="Arial" w:hAnsi="Arial"/>
              <w:b w:val="0"/>
              <w:i w:val="0"/>
              <w:color w:val="5C6770"/>
              <w:sz w:val="16"/>
            </w:rPr>
            <w:t>Office +1 778-910-0355  |  WhatsApp +1 604-302-9424</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